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18" w:rsidRDefault="008C0E8A">
      <w:pPr>
        <w:spacing w:line="100" w:lineRule="atLeast"/>
        <w:jc w:val="right"/>
        <w:rPr>
          <w:rFonts w:ascii="TimesNewRoman" w:hAnsi="TimesNewRoman" w:cs="TimesNewRoman" w:hint="eastAsia"/>
          <w:sz w:val="18"/>
          <w:szCs w:val="18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Załącznik nr 4.20 do </w:t>
      </w:r>
    </w:p>
    <w:p w:rsidR="007A0E18" w:rsidRDefault="008C0E8A">
      <w:pPr>
        <w:spacing w:line="100" w:lineRule="atLeast"/>
        <w:jc w:val="right"/>
        <w:rPr>
          <w:rFonts w:ascii="TimesNewRoman" w:hAnsi="TimesNewRoman" w:cs="TimesNewRoman" w:hint="eastAsia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„Instrukcji obsługi </w:t>
      </w:r>
    </w:p>
    <w:p w:rsidR="007A0E18" w:rsidRDefault="008C0E8A">
      <w:pPr>
        <w:spacing w:line="100" w:lineRule="atLeast"/>
        <w:jc w:val="right"/>
        <w:rPr>
          <w:rFonts w:ascii="TimesNewRoman" w:hAnsi="TimesNewRoman" w:cs="TimesNewRoman" w:hint="eastAsia"/>
          <w:b/>
          <w:bCs/>
          <w:sz w:val="28"/>
          <w:szCs w:val="28"/>
        </w:rPr>
      </w:pPr>
      <w:r>
        <w:rPr>
          <w:rFonts w:ascii="TimesNewRoman" w:hAnsi="TimesNewRoman" w:cs="TimesNewRoman"/>
          <w:sz w:val="18"/>
          <w:szCs w:val="18"/>
        </w:rPr>
        <w:t>Klientów indywidualnych”</w:t>
      </w:r>
    </w:p>
    <w:p w:rsidR="007A0E18" w:rsidRDefault="007A0E18">
      <w:pPr>
        <w:spacing w:line="100" w:lineRule="atLeast"/>
        <w:jc w:val="center"/>
        <w:rPr>
          <w:rFonts w:ascii="TimesNewRoman" w:hAnsi="TimesNewRoman" w:cs="TimesNewRoman" w:hint="eastAsia"/>
          <w:b/>
          <w:bCs/>
          <w:sz w:val="28"/>
          <w:szCs w:val="28"/>
        </w:rPr>
      </w:pPr>
    </w:p>
    <w:p w:rsidR="007A0E18" w:rsidRDefault="008C0E8A">
      <w:pPr>
        <w:spacing w:line="100" w:lineRule="atLeast"/>
        <w:jc w:val="center"/>
        <w:rPr>
          <w:rFonts w:cs="TimesNewRoman"/>
          <w:sz w:val="16"/>
          <w:szCs w:val="16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ARKUSZ INFORMACYJNY DLA DEPONENTÓW</w:t>
      </w:r>
    </w:p>
    <w:p w:rsidR="007A0E18" w:rsidRDefault="007A0E18">
      <w:pPr>
        <w:spacing w:line="100" w:lineRule="atLeast"/>
        <w:rPr>
          <w:rFonts w:cs="TimesNewRoman"/>
          <w:sz w:val="16"/>
          <w:szCs w:val="16"/>
        </w:rPr>
      </w:pPr>
    </w:p>
    <w:tbl>
      <w:tblPr>
        <w:tblW w:w="0" w:type="auto"/>
        <w:tblInd w:w="-5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4"/>
        <w:gridCol w:w="5610"/>
      </w:tblGrid>
      <w:tr w:rsidR="007A0E18">
        <w:tc>
          <w:tcPr>
            <w:tcW w:w="5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 xml:space="preserve">Depozyty w Banku Spółdzielczym w Jordanowie </w:t>
            </w:r>
            <w:r w:rsidR="000F63AE">
              <w:rPr>
                <w:rFonts w:cs="TimesNewRoman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cs="TimesNewRoman"/>
                <w:b/>
                <w:bCs/>
                <w:sz w:val="20"/>
                <w:szCs w:val="20"/>
              </w:rPr>
              <w:t>są gwarantowane przez:</w:t>
            </w:r>
          </w:p>
        </w:tc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Bankowy Fundusz Gwarancyjny 1)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Zakres ochrony: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 w:rsidP="00BB15FC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równowartość w złotych 100 000 euro w odniesieniu do każdego deponenta w jednym podmiocie objętym systemem gwarantowania</w:t>
            </w:r>
            <w:r w:rsidR="00BB15FC">
              <w:rPr>
                <w:rFonts w:cs="TimesNewRoman"/>
                <w:sz w:val="20"/>
                <w:szCs w:val="20"/>
              </w:rPr>
              <w:t xml:space="preserve"> 2)  </w:t>
            </w:r>
            <w:r w:rsidR="00053843">
              <w:rPr>
                <w:rFonts w:cs="TimesNewRoman"/>
                <w:sz w:val="20"/>
                <w:szCs w:val="20"/>
              </w:rPr>
              <w:t xml:space="preserve">Zakres ochrony: </w:t>
            </w:r>
            <w:r w:rsidR="00BB15FC">
              <w:rPr>
                <w:rFonts w:cs="TimesNewRoman"/>
                <w:sz w:val="20"/>
                <w:szCs w:val="20"/>
              </w:rPr>
              <w:t>Bank Spółdzielczy w Jordanowie.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Jeżeli deponent posiada więcej depozytów w tym samym podmiocie objętym systemem gwarantowania: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 w:rsidP="00BB15FC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wszystkie depozyty w tym samym podmiocie objętym systemem gwarantowania są sumowane, a suma podlega limitowi równowartości w złotych 100 000 euro 3)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Jeżeli deponent posiada wspólny rachunek z inną osobą / innymi osobami: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limit równowartości w złotych 100 000 euro ma zastosowanie do każdego z deponentów oddzielnie 4)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Okres wypłaty w przypadku niewypłacalności podmiotu objętego systemem gwarantowania: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7 dni roboczych 5)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Waluta wypłaty: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Złoty</w:t>
            </w:r>
          </w:p>
        </w:tc>
      </w:tr>
      <w:tr w:rsidR="007A0E18" w:rsidRPr="00882583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Bankowy Fundusz Gwarancyjny, ul. ks. Ignacego Jana Skorupki 4 00-546 Warszawa, Telefon: 22 58 30</w:t>
            </w:r>
            <w:r w:rsidR="00882583">
              <w:rPr>
                <w:rFonts w:cs="TimesNewRoman"/>
                <w:sz w:val="20"/>
                <w:szCs w:val="20"/>
              </w:rPr>
              <w:t> </w:t>
            </w:r>
            <w:r>
              <w:rPr>
                <w:rFonts w:cs="TimesNewRoman"/>
                <w:sz w:val="20"/>
                <w:szCs w:val="20"/>
              </w:rPr>
              <w:t>700</w:t>
            </w:r>
            <w:r w:rsidR="00882583">
              <w:rPr>
                <w:rFonts w:cs="TimesNewRoman"/>
                <w:sz w:val="20"/>
                <w:szCs w:val="20"/>
              </w:rPr>
              <w:t>, Infolinia: 800 569 341</w:t>
            </w:r>
            <w:r>
              <w:rPr>
                <w:rFonts w:cs="TimesNewRoman"/>
                <w:sz w:val="20"/>
                <w:szCs w:val="20"/>
              </w:rPr>
              <w:t xml:space="preserve"> Faks: 22 58 30 701</w:t>
            </w:r>
          </w:p>
          <w:p w:rsidR="007A0E18" w:rsidRPr="008C0E8A" w:rsidRDefault="00BB15F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cs="TimesNewRoman"/>
                <w:sz w:val="20"/>
                <w:szCs w:val="20"/>
                <w:lang w:val="en-US"/>
              </w:rPr>
              <w:t>e</w:t>
            </w:r>
            <w:r w:rsidR="008C0E8A" w:rsidRPr="008C0E8A">
              <w:rPr>
                <w:rFonts w:cs="TimesNewRoman"/>
                <w:sz w:val="20"/>
                <w:szCs w:val="20"/>
                <w:lang w:val="en-US"/>
              </w:rPr>
              <w:t>-mail: kancelaria@bfg.pl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 xml:space="preserve">Informacje dodatkowe: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</w:pPr>
            <w:r>
              <w:rPr>
                <w:rFonts w:cs="TimesNewRoman"/>
                <w:sz w:val="20"/>
                <w:szCs w:val="20"/>
              </w:rPr>
              <w:t>https://www.bfg.pl/</w:t>
            </w:r>
          </w:p>
        </w:tc>
      </w:tr>
      <w:tr w:rsidR="007A0E18">
        <w:tc>
          <w:tcPr>
            <w:tcW w:w="5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18" w:rsidRDefault="008C0E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TimesNewRoman"/>
                <w:b/>
                <w:bCs/>
                <w:sz w:val="20"/>
                <w:szCs w:val="20"/>
              </w:rPr>
              <w:t>Potwierdzenie otrzymania przez deponenta: 6)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7A0E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A0E18" w:rsidRDefault="007A0E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A0E18" w:rsidRDefault="007A0E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A0E18" w:rsidRDefault="007A0E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A0E18">
        <w:tc>
          <w:tcPr>
            <w:tcW w:w="110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18" w:rsidRDefault="008C0E8A">
            <w:pPr>
              <w:pStyle w:val="Tekstpodstawowy"/>
              <w:spacing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rFonts w:cs="TimesNewRoman"/>
                <w:sz w:val="22"/>
                <w:szCs w:val="22"/>
              </w:rPr>
              <w:t>Informacje dodatkowe:</w:t>
            </w:r>
          </w:p>
          <w:p w:rsidR="007A0E18" w:rsidRDefault="008C0E8A" w:rsidP="00A01ED9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odpowiedzialny za ochronę depozytu.</w:t>
            </w:r>
          </w:p>
          <w:p w:rsidR="007A0E18" w:rsidRDefault="008C0E8A" w:rsidP="00DD3EA3">
            <w:pPr>
              <w:pStyle w:val="Tekstpodstawowy"/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A01ED9">
              <w:rPr>
                <w:sz w:val="22"/>
                <w:szCs w:val="22"/>
              </w:rPr>
              <w:t>Bankowy Fundusz Gwarancyjny jest odpowiedzialny za ochronę depozytów.</w:t>
            </w:r>
          </w:p>
          <w:p w:rsidR="007A0E18" w:rsidRPr="00A01ED9" w:rsidRDefault="00DD3EA3" w:rsidP="00A01ED9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8C0E8A" w:rsidRPr="00A01ED9">
              <w:rPr>
                <w:sz w:val="22"/>
                <w:szCs w:val="22"/>
              </w:rPr>
              <w:t>Ogólny zakres ochrony.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Jeżeli depozyt nie jest dostępny, gdyż podmiot objęty systemem gwarantowania nie jest w stanie wypełnić swoich zobowiązań finansowych, wypłaty na rzecz deponentów dokonuje Bankowy Fundusz Gwarancyjny. Kwota wypłaty wynosi maksymalnie równowartość w złotych 100 000 euro w odniesieniu do każdego deponenta w jednym podmiocie objętym systemem gwarantowania. Oznacza to, że w celu określenia kwoty objętej gwarancją sumowane są wszystkie depozyty ulokowane w tym samym podmiocie objętym systemem gwarantowania. Przykładowo, jeżeli deponent posiada równowartość w złotych 90 000 euro na rachunku oszczędnościowym i równowartość w złotych 20 000 euro na rachunku bieżącym w tym samym podmiocie objętym systemem gwarantowania, wypłacona zostanie jedynie kwota równowartości w złotych 100 000 euro w Banku Spółdzielczym w Jordanowie.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Oznacza to, że suma wszystkich depozytów ulokowanych pod jednym lub wieloma z tych znaków towarowych jest gwarantowana łącznie do wysokości równowartości w złotych 100 000 euro.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obliczenia równowartości euro w złotych przyjmuje się kurs średni ogłaszany przez Narodowy Bank Polski w dniu spełnienia warunku gwarancji, w rozumieniu art. 2 pkt 10 ustawy z dnia 10 czerwca 2016 r. o Bankowym Funduszu Gwarancyjnym, systemie gwarantowania depozytów oraz przymusowej restrukturyzacji (Dz. U. </w:t>
            </w:r>
            <w:r w:rsidR="00856D88">
              <w:rPr>
                <w:sz w:val="22"/>
                <w:szCs w:val="22"/>
              </w:rPr>
              <w:t xml:space="preserve">z 2020 r. </w:t>
            </w:r>
            <w:r>
              <w:rPr>
                <w:sz w:val="22"/>
                <w:szCs w:val="22"/>
              </w:rPr>
              <w:t xml:space="preserve">poz. </w:t>
            </w:r>
            <w:r w:rsidR="00856D88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>), wobec danego podmiotu objętego systemem gwarantowania depozytów.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Limit ochrony wspólnych rachunków.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wspólnych rachunków limit równowartości w złotych 100 000 euro stosuje się do każdego z deponentów. Jednakże depozyty na rachunku, do którego dwie lub więcej osób jest uprawnionych jako członkowie spółki osobowej, stowarzyszenia lub jednostki organizacyjnej nieposiadającej osobowości prawnej, której odrębna ustawa przyznaje </w:t>
            </w:r>
            <w:r>
              <w:rPr>
                <w:sz w:val="22"/>
                <w:szCs w:val="22"/>
              </w:rPr>
              <w:lastRenderedPageBreak/>
              <w:t>zdolność prawną, są do celów obliczenia górnego limitu równowartości w złotych 100 000 euro sumowane i traktowane jako depozyt jednego deponenta.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gdy środki lub należności deponenta będącego osobą fizyczną pochodzą z: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odpłatnego zbycia: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nieruchomości zabudowanej budynkiem mieszkalnym jednorodzinnym w rozumieniu przepisów ustawy z dnia 7 lipca 1994 r.</w:t>
            </w:r>
            <w:r w:rsidR="00856D88">
              <w:rPr>
                <w:sz w:val="22"/>
                <w:szCs w:val="22"/>
              </w:rPr>
              <w:t xml:space="preserve"> – Prawo budowlane (Dz. U. z 2020</w:t>
            </w:r>
            <w:r>
              <w:rPr>
                <w:sz w:val="22"/>
                <w:szCs w:val="22"/>
              </w:rPr>
              <w:t xml:space="preserve"> r. poz. </w:t>
            </w:r>
            <w:r w:rsidR="00856D88">
              <w:rPr>
                <w:sz w:val="22"/>
                <w:szCs w:val="22"/>
              </w:rPr>
              <w:t>1333</w:t>
            </w:r>
            <w:r>
              <w:rPr>
                <w:sz w:val="22"/>
                <w:szCs w:val="22"/>
              </w:rPr>
              <w:t xml:space="preserve">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zm.), jej części lub udziału w takiej nieruchomości,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prawa użytkowania wieczystego gruntu zabudowanego budynkiem mieszkalnym jednorodzinnym w rozumieniu przepisów ustawy z dnia 7 lipca 1994 r. – Prawo budowlane lub udziału w takim prawie,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samodzielnego lokalu mieszkalnego w rozumieniu przepisów ustawy z dnia 24 czerwca 1994 r. o własności lokali                </w:t>
            </w:r>
            <w:r w:rsidR="00856D88">
              <w:rPr>
                <w:sz w:val="22"/>
                <w:szCs w:val="22"/>
              </w:rPr>
              <w:t>(Dz. U. z 2020</w:t>
            </w:r>
            <w:r>
              <w:rPr>
                <w:sz w:val="22"/>
                <w:szCs w:val="22"/>
              </w:rPr>
              <w:t xml:space="preserve"> r. poz. 1</w:t>
            </w:r>
            <w:r w:rsidR="00856D88">
              <w:rPr>
                <w:sz w:val="22"/>
                <w:szCs w:val="22"/>
              </w:rPr>
              <w:t xml:space="preserve">910 z </w:t>
            </w:r>
            <w:proofErr w:type="spellStart"/>
            <w:r w:rsidR="00856D88">
              <w:rPr>
                <w:sz w:val="22"/>
                <w:szCs w:val="22"/>
              </w:rPr>
              <w:t>późn</w:t>
            </w:r>
            <w:proofErr w:type="spellEnd"/>
            <w:r w:rsidR="00856D88">
              <w:rPr>
                <w:sz w:val="22"/>
                <w:szCs w:val="22"/>
              </w:rPr>
              <w:t>. zm.</w:t>
            </w:r>
            <w:r>
              <w:rPr>
                <w:sz w:val="22"/>
                <w:szCs w:val="22"/>
              </w:rPr>
              <w:t>) stanowiącego odrębną nieruchomość lub udziału w takim lokalu, gruntu lub udziału w gruncie albo prawa użytkowania wieczystego gruntu lub udziału w takim prawie, związanych z tym lokalem,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spółdzielczego własnościowego prawa do lokalu o przeznaczeniu mieszkalnym lub udziału w takim prawie 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jeżeli zbycie to nie nastąpiło w ramach wykonywanej działalności gospodarczej,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wykonania na rzecz deponenta umownego lub sądowego podziału majątku po ustaniu małżeńskiej wspólności majątkowej,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nabycia przez deponenta spadku, wykonania na jego rzecz zapisu lub otrzymania przez niego zachowku,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wypłaty sumy ubezpieczenia z tytułu umowy ubezpieczenia na życie w związku ze śmiercią osoby ubezpieczonej lub dożyciem przez nią oznaczonego wieku,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wypłaty sumy ubezpieczenia z tytułu umowy ubezpieczenia następstw nieszczęśliwych wypadków w związku                         z uszkodzeniem ciała, rozstrojem zdrowia lub śmiercią osoby ubezpieczonej wskutek nieszczęśliwego wypadku,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wypłaty odprawy pieniężnej na warunkach i w wysokości określonych w przepisach odrębnych,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15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wypłaty odprawy emerytalnej lub rentowej, o której mowa w art. 921 § 1 ustawy z dnia 26 czerwca 1974 </w:t>
            </w:r>
            <w:r w:rsidR="00856D88">
              <w:rPr>
                <w:sz w:val="22"/>
                <w:szCs w:val="22"/>
              </w:rPr>
              <w:t>r. – Kodeks pracy (Dz. U. z 2020</w:t>
            </w:r>
            <w:r>
              <w:rPr>
                <w:sz w:val="22"/>
                <w:szCs w:val="22"/>
              </w:rPr>
              <w:t xml:space="preserve"> r. poz. 1</w:t>
            </w:r>
            <w:r w:rsidR="00856D88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 xml:space="preserve">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lub odrębnych przepisach, na warunkach i w wysokości określonych w tych przepisach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są one objęte ochroną gwarancyjną, w terminie 3 miesięcy od dnia wpływu środków na rachunek lub powstania należności, do wysokości stanowiącej różnicę pomiędzy dwukrotnością limitu równowartości w złotych 100 000 euro                  a sumą pozostałych środków i należności deponenta, nie wyższą jednak niż limit równowartości w złotych 100 000 euro.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tym terminie środki i należności deponenta są objęte obowiązkowym systemem  gwarantowania depozytów na zasadach ogólnych, tj. do wysokości równowartości w złotych 100 000 euro.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gdy środki pochodzą z wypłaty odszkodowania za szkodę wyrządzoną przestępstwem lub zadośćuczynienia za doznaną krzywdę, odszkodowania lub zadośćuczynienia, o którym mowa w art. 552 ustawy z dnia 6 czerwca 1997 r. – Kodeks postępowania karnego (Dz. U.</w:t>
            </w:r>
            <w:r w:rsidR="00856D88">
              <w:rPr>
                <w:sz w:val="22"/>
                <w:szCs w:val="22"/>
              </w:rPr>
              <w:t xml:space="preserve"> z 2020 </w:t>
            </w:r>
            <w:r>
              <w:rPr>
                <w:sz w:val="22"/>
                <w:szCs w:val="22"/>
              </w:rPr>
              <w:t xml:space="preserve"> poz. </w:t>
            </w:r>
            <w:r w:rsidR="00856D88">
              <w:rPr>
                <w:sz w:val="22"/>
                <w:szCs w:val="22"/>
              </w:rPr>
              <w:t>30,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zm.), są one objęte ochroną gwarancyjną, w terminie 3 miesięcy od dnia wpływu środków na rachunek lub powstania należności – w całości. Po tym terminie te środki i należności są objęte obowiązkowym systemem gwarantowania depozytów na zasadach ogólnych, tj. do wysokości równowartości w złotych 100 000 euro.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Dalsze informacje można uzyskać na następującej stronie internetowej: https://www.bfg.pl.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Wypłata.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Podmiotem odpowiedzialnym za wypłatę środków gwarantowanych jest Bankowy Fundusz Gwarancyjny, ul. ks. Ignacego Jana Skorupki 4, 00-546 Warszawa, Telefon: 22 58 30 700, Faks: 22 58 30 701, E-mail: kancelaria@bfg.pl strona internetowa: https://www.bfg.pl). Wypłata następuje (w kwocie równowartości w złotych do 100 000 euro) najpóźniej w terminie 7 dni roboczych od dnia spełnienia warunku gwarancji, o którym mowa w art. 2 pkt 10 ustawy z dnia 10 czerwca 2016 r. o Bankowym Funduszu Gwarancyjnym, systemie gwarantowania depozytów oraz przymusowej restrukturyzacji, wobec danego podmiotu objętego systemem gwarantowania depozytów.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przypadkach określonych w art. 36 ustawy z dnia 10 czerwca 2016 r. o Bankowym Funduszu Gwarancyjnym, systemie gwarantowania depozytów oraz przymusowej restrukturyzacji termin 7-dniowy może zostać wydłużony.</w:t>
            </w:r>
          </w:p>
          <w:p w:rsidR="00BB15FC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wypłata środków gwarantowanych nie nastąpiła w tych terminach, należy skontaktować się z Bankowym Funduszem Gwarancyjnym, ponieważ termin wnoszenia roszczeń o ich wypłatę może ulec przedawnieniu. Dalsze informacje można uzyskać na następującej stronie internetowej: </w:t>
            </w:r>
            <w:r w:rsidR="00BB15FC" w:rsidRPr="00BB15FC">
              <w:rPr>
                <w:sz w:val="22"/>
                <w:szCs w:val="22"/>
              </w:rPr>
              <w:t>https://www.bfg.pl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BB15FC">
              <w:rPr>
                <w:sz w:val="22"/>
                <w:szCs w:val="22"/>
              </w:rPr>
              <w:t>Potwierdzenie otrzymania przez deponenta.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gdy deponent korzysta z bankowości internetowej, udostępnienie arkusza informacyjnego oraz potwierdzenie jego otrzymania może nastąpić środkami komunikacji elektronicznej.</w:t>
            </w:r>
          </w:p>
          <w:p w:rsidR="007A0E18" w:rsidRDefault="008C0E8A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istotne informacje.</w:t>
            </w:r>
          </w:p>
          <w:p w:rsidR="007A0E18" w:rsidRDefault="008C0E8A" w:rsidP="00856D88">
            <w:pPr>
              <w:pStyle w:val="Tekstpodstawowy"/>
              <w:spacing w:after="0" w:line="100" w:lineRule="atLeast"/>
              <w:jc w:val="both"/>
            </w:pPr>
            <w:r>
              <w:rPr>
                <w:sz w:val="22"/>
                <w:szCs w:val="22"/>
              </w:rPr>
              <w:t xml:space="preserve">Zasadniczo depozyty wszystkich klientów indywidualnych i przedsiębiorstw są chronione przez systemy gwarancji depozytów. Informacje o wyjątkach obowiązujących w odniesieniu do określonych depozytów zamieszczone są na stronie internetowej właściwego systemu gwarancji depozytów. Na odpowiednie zapytanie również podmiot objęty systemem gwarantowania udziela informacji o tym, czy określone produkty są objęte ochroną, bądź nie są objęte ochroną. </w:t>
            </w:r>
          </w:p>
        </w:tc>
      </w:tr>
    </w:tbl>
    <w:p w:rsidR="00071C86" w:rsidRDefault="00071C86">
      <w:pPr>
        <w:spacing w:line="100" w:lineRule="atLeast"/>
        <w:rPr>
          <w:rFonts w:cs="TimesNewRoman"/>
          <w:sz w:val="20"/>
          <w:szCs w:val="20"/>
        </w:rPr>
      </w:pPr>
    </w:p>
    <w:p w:rsidR="007A0E18" w:rsidRDefault="007A0E18" w:rsidP="00856D88">
      <w:pPr>
        <w:widowControl/>
        <w:suppressAutoHyphens w:val="0"/>
        <w:rPr>
          <w:rFonts w:cs="TimesNewRoman"/>
          <w:sz w:val="20"/>
          <w:szCs w:val="20"/>
        </w:rPr>
      </w:pPr>
    </w:p>
    <w:sectPr w:rsidR="007A0E18" w:rsidSect="007A0E18">
      <w:pgSz w:w="11906" w:h="16838"/>
      <w:pgMar w:top="340" w:right="1134" w:bottom="79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567"/>
    <w:multiLevelType w:val="hybridMultilevel"/>
    <w:tmpl w:val="F878A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A"/>
    <w:rsid w:val="00053843"/>
    <w:rsid w:val="00071C86"/>
    <w:rsid w:val="000F63AE"/>
    <w:rsid w:val="007A0E18"/>
    <w:rsid w:val="00856D88"/>
    <w:rsid w:val="00882583"/>
    <w:rsid w:val="008C0E8A"/>
    <w:rsid w:val="00A01ED9"/>
    <w:rsid w:val="00BB15FC"/>
    <w:rsid w:val="00DD3EA3"/>
    <w:rsid w:val="00EF53C6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1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A0E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A0E18"/>
    <w:pPr>
      <w:spacing w:after="120"/>
    </w:pPr>
  </w:style>
  <w:style w:type="paragraph" w:styleId="Lista">
    <w:name w:val="List"/>
    <w:basedOn w:val="Tekstpodstawowy"/>
    <w:rsid w:val="007A0E18"/>
  </w:style>
  <w:style w:type="paragraph" w:customStyle="1" w:styleId="Podpis1">
    <w:name w:val="Podpis1"/>
    <w:basedOn w:val="Normalny"/>
    <w:rsid w:val="007A0E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A0E18"/>
    <w:pPr>
      <w:suppressLineNumbers/>
    </w:pPr>
  </w:style>
  <w:style w:type="paragraph" w:customStyle="1" w:styleId="Zawartotabeli">
    <w:name w:val="Zawartość tabeli"/>
    <w:basedOn w:val="Normalny"/>
    <w:rsid w:val="007A0E1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B15FC"/>
    <w:rPr>
      <w:color w:val="0000FF" w:themeColor="hyperlink"/>
      <w:u w:val="single"/>
    </w:rPr>
  </w:style>
  <w:style w:type="paragraph" w:customStyle="1" w:styleId="Domylnie">
    <w:name w:val="Domyślnie"/>
    <w:rsid w:val="00071C8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1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A0E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A0E18"/>
    <w:pPr>
      <w:spacing w:after="120"/>
    </w:pPr>
  </w:style>
  <w:style w:type="paragraph" w:styleId="Lista">
    <w:name w:val="List"/>
    <w:basedOn w:val="Tekstpodstawowy"/>
    <w:rsid w:val="007A0E18"/>
  </w:style>
  <w:style w:type="paragraph" w:customStyle="1" w:styleId="Podpis1">
    <w:name w:val="Podpis1"/>
    <w:basedOn w:val="Normalny"/>
    <w:rsid w:val="007A0E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A0E18"/>
    <w:pPr>
      <w:suppressLineNumbers/>
    </w:pPr>
  </w:style>
  <w:style w:type="paragraph" w:customStyle="1" w:styleId="Zawartotabeli">
    <w:name w:val="Zawartość tabeli"/>
    <w:basedOn w:val="Normalny"/>
    <w:rsid w:val="007A0E1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B15FC"/>
    <w:rPr>
      <w:color w:val="0000FF" w:themeColor="hyperlink"/>
      <w:u w:val="single"/>
    </w:rPr>
  </w:style>
  <w:style w:type="paragraph" w:customStyle="1" w:styleId="Domylnie">
    <w:name w:val="Domyślnie"/>
    <w:rsid w:val="00071C8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Działek</dc:creator>
  <cp:lastModifiedBy>Magdalena Dyrcz</cp:lastModifiedBy>
  <cp:revision>5</cp:revision>
  <cp:lastPrinted>1900-12-31T23:00:00Z</cp:lastPrinted>
  <dcterms:created xsi:type="dcterms:W3CDTF">2021-01-05T13:44:00Z</dcterms:created>
  <dcterms:modified xsi:type="dcterms:W3CDTF">2021-01-05T13:47:00Z</dcterms:modified>
</cp:coreProperties>
</file>